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KLAUZULA INFORMACYJNA</w:t>
        <w:br/>
        <w:t xml:space="preserve">(do postępowania o udzielenie zamówienia publicznego o wartości mniejszej niż 170.000 zł netto, do którego nie stosuje się przepisów ustawy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– Prawo Zamówień Publicznych)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dyrektywy 95/46/WE (ogólne rozporządzenie o ochronie danych, dalej: RODO) informuję: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2.Dane kontaktowe Inspektora Ochrony Danych: Piotr Piątak, e-mail: </w:t>
      </w:r>
      <w:hyperlink r:id="rId9" w:tooltip="mailto:ppiatak@kancelariapiatak.pl" w:history="1">
        <w:r>
          <w:rPr>
            <w:rStyle w:val="822"/>
            <w:rFonts w:ascii="Times New Roman" w:hAnsi="Times New Roman" w:eastAsia="Times New Roman" w:cs="Times New Roman"/>
            <w:color w:val="0000ee"/>
            <w:sz w:val="24"/>
            <w:szCs w:val="24"/>
            <w:u w:val="none"/>
          </w:rPr>
          <w:t xml:space="preserve">ppiatak@kancelariapiatak.pl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 Z Inspektorem można kontaktować się we wszystkich sprawach dotyczących przetwarzania danych osobowych oraz korzystania z praw związanych z przetwarzaniem danych.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Pani/Pana dane osobowe będą przetwarzane wyłącznie w celu przeprowadzenia postępowania o udzielenie zamówienia publicznego o wartości szacunkowej mniejszej niż 170 000 zł netto, do którego nie stosuje się przepisów ustawy z dnia 11 września 2019 r. - Prawo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zamówień publicznych (t.j. Dz.U. z 2026 r. poz. 793), realizowanego przez Administratora zgodnie z wewnętrznym regulaminem udzielania zamówień publicznych.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Przetwarzanie obejmuje w szczególności: przyjęcie i ocenę złożonych ofert, przeprowadzenie ewentualnych wyjaśnień lub negocjacji, wybór najkorzystniejszej oferty lub unieważnienie postępowania, a także sporządzenie i archiwizację dokumentacji postępowania.</w:t>
      </w:r>
      <w:r>
        <w:rPr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5.Niniejsza klauzula dotyczy wyłącznie etapu postępowania. Przetwarzanie danych osobowych w związku z realizacją umowy zawartej w wyniku postępowania objęte jest odrębną klauzulą informacyjną.</w:t>
      </w:r>
      <w:r>
        <w:rPr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6.Podstawami prawnymi przetwarzania są: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a) art. 6 ust. 1 lit. c RODO - wypełnienie obowiązku prawnego ciążącego na Administratorze, wynikającego z przepisów o finansach publicznych, w szczególności ustawy z dnia 27 sierpnia 2009 r. o finansach publicznych (t.j. Dz.U. z 2025 r. poz. 1483, z późn.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zm.), nakładających na jednostki sektora finansów publicznych obowiązek wydatkowania środków publicznych w sposób celowy, oszczędny i z zachowaniem zasady uzyskiwania najlepszych efektów z danych nakładów;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b)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art. 6 ust. 1 lit. e RODO - wykonanie zadania realizowanego w interesie publicznym lub w ramach sprawowania władzy publicznej powierzonej Administratorowi, w zakresie dotyczącym postępowań związanych z realizacją zadań statutowych DPS w Machowinku finansow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anych ze środków publicznych.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Podanie danych osobowych jest wymogiem niezbędnym do udziału w postępowaniu. Konsekwencją niepodania danych jest brak możliwości złożenia i oceny oferty.</w:t>
      </w:r>
      <w:r>
        <w:rPr>
          <w:szCs w:val="24"/>
        </w:rPr>
      </w:r>
      <w:r>
        <w:rPr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7.Odbiorcami Pani/Pana danych osobowych mogą być: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a) podmioty uprawnione do ich otrzymania na podstawie obowiązujących przepisów prawa, w tym organy kontroli (Regionalna Izba Obrachunkowa, organy skarbowe, organy kontroli zarządczej) oraz instytucje zarządzające środkami unijnymi - w przypadku zamówień fi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nansowanych z funduszy europejskich;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b) podmioty świadczące na rzecz Administratora usługi serwisowe dla systemów informatycznych wykorzystywanych przy przetwarzaniu danych, z którymi Administrator zawarł umowę powierzenia przetwarzania danych osobowych, a także operator pocztowy oraz Poczta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Polska S.A. jako publiczny dostawca usług e-Doręczeń;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c) inne podmioty lub osoby fizyczne - w zakresie, w jakim dokumentacja postępowania stanowi informację publiczną w rozumieniu ustawy z dnia 6 września 2001 r. o dostępie do informacji publicznej (t.j. Dz.U. z 2022 r. poz. 902) i zostanie udostępniona na wn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iosek lub z urzędu.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W odniesieniu do lit. c wyjaśnia się, że dokumentacja postępowania podprogowego - w szczególności informacja o wyborze oferty oraz wartości złożonych ofert - jest co do zasady jawna i może podlegać udostępnieniu w trybie dostępu do informacji publicznej. P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rawo do informacji publicznej podlega ograniczeniu ze względu na prywatność osoby fizycznej lub tajemnicę przedsiębiorcy. Dane osobowe osób fizycznych niewykonujących funkcji publicznych mogą podlegać anonimizacji przed ich udostępnieniem.</w:t>
      </w:r>
      <w:r>
        <w:rPr>
          <w:szCs w:val="24"/>
        </w:rPr>
      </w:r>
      <w:r>
        <w:rPr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8.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Pani/Pana dane osobowe co do zasady nie będą przekazywane do państw trzecich ani organizacji międzynarodowych; w uzasadnionych przypadkach, wynikających z obowiązujących przepisów prawa, może to jednak nastąpić, z zapewnieniem odpowiednich zabezpieczeń prz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ewidzianych w RODO.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9.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Pani/Pana dane osobowe będą przechowywane przez okres niezbędny do realizacji celów określonych w pkt 3 niniejszej klauzuli, a następnie przez czas wynikający z obowiązujących przepisów prawa dotyczących archiwizacji dokumentacji. Na okres przechowywania w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pływają następujące okoliczności: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a) Dokumentacja postępowania o udzielenie zamówienia przechowywana jest zgodnie z jednolitym rzeczowym wykazem akt stosowanym u Administratora, wynikającym z ustawy z dnia 14 lipca 1983 r. o narodowym zasobie archiwalnym i archiwach (t.j. Dz.U. z 2020 r. p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oz. 164, z późn. zm.) oraz rozporządzenia Prezesa Rady Ministrów z dnia 18 stycznia 2011 r. w sprawie instrukcji kancelaryjnej, jednolitych rzeczowych wykazów akt oraz instrukcji w sprawie organizacji i zakresu działania archiwów zakładowych (Dz.U. z 2011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r. Nr 14, poz. 67, z późn. zm.) - co do zasady przez okres 5 lat od dnia zakończenia postępowania, licząc od końca roku kalendarzowego, w którym postępowanie zostało zakończone.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b) W przypadku zamówień finansowanych ze środków europejskich dokumentacja postępowania przechowywana jest przez okres wskazany w umowie o dofinansowanie, który z reguły wynosi co najmniej 5 lat od dnia dokonania ostatniej płatności na rzecz beneficjenta l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ub przez okres dłuższy, jeżeli wymagają tego przepisy szczególne lub postanowienia umowy o dofinansowanie.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c) W zakresie ewentualnych roszczeń związanych z przebiegiem postępowania - przez okres przedawnienia tych roszczeń, zgodnie z art. 118 ustawy z dnia 23 kwietnia 1964 r. - Kodeks cywilny (t.j. Dz.U. z 2025 r. poz. 1071, z późn. zm.), przy czym koniec termi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nu przedawnienia przypada na ostatni dzień roku kalendarzowego.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Administrator stosuje zasadę, zgodnie z którą dane przechowywane są przez okres wynikający z najdłuższego z wymienionych wyżej terminów, uzasadnionego konkretnym celem przetwarzania w danej sprawie.</w:t>
      </w:r>
      <w:r>
        <w:rPr>
          <w:szCs w:val="24"/>
        </w:rPr>
      </w:r>
      <w:r>
        <w:rPr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10.Przysługuje Pani/Panu prawo do: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a) dostępu do swoich danych osobowych oraz otrzymania ich kopii (art. 15 RODO) - przy czym Administrator może żądać wskazania dodatkowych informacji pozwalających na identyfikację postępowania, w związku z którym dane zostały zebrane;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b) sprostowania lub uzupełnienia danych osobowych (art. 16 RODO) - przy czym skorzystanie z tego prawa nie może skutkować zmianą wyniku postępowania ani naruszać integralności dokumentacji postępowania;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c) usunięcia danych osobowych (art. 17 RODO) - w zakresie, w jakim nie jest to sprzeczne z obowiązującymi przepisami prawa, w szczególności z obowiązkami archiwizacyjnymi i wymogami wynikającymi z przepisów o finansach publicznych;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d) ograniczenia przetwarzania danych osobowych (art. 18 RODO) - z zastrzeżeniem, że w przypadku gdy żądanie ograniczenia koliduje z obowiązkami prawnymi Administratora, może ono nie zostać uwzględnione w całości;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e) wniesienia sprzeciwu wobec przetwarzania danych osobowych (art. 21 RODO) - w zakresie, w jakim podstawą przetwarzania jest art. 6 ust. 1 lit. e RODO; po wniesieniu sprzeciwu Administrator zaprzestanie przetwarzania danych, chyba że wykaże istnienie ważn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ych prawnie uzasadnionych podstaw do przetwarzania, nadrzędnych wobec interesów, praw i wolności osoby, której dane dotyczą, lub podstaw do ustalenia, dochodzenia lub obrony roszczeń.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Prawo do przenoszenia danych (art. 20 RODO) nie przysługuje, ponieważ dane przetwarzane są wyłącznie na podstawie art. 6 ust. 1 lit. c i e RODO, a nie na podstawie zgody lub umowy w sposób zautomatyzowany.</w:t>
      </w:r>
      <w:r>
        <w:rPr>
          <w:szCs w:val="24"/>
        </w:rPr>
      </w:r>
      <w:r>
        <w:rPr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11.Przysługuje Pani/Panu prawo do wniesienia skargi do organu nadzorczego, tj. Prezesa Urzędu Ochrony Danych Osobowych w Warszawie (</w:t>
      </w:r>
      <w:hyperlink r:id="rId10" w:tooltip="https://uodo.gov.pl/pl/p/kontakt" w:history="1">
        <w:r>
          <w:rPr>
            <w:rStyle w:val="822"/>
            <w:rFonts w:ascii="Times New Roman" w:hAnsi="Times New Roman" w:eastAsia="Times New Roman" w:cs="Times New Roman"/>
            <w:color w:val="0000ee"/>
            <w:sz w:val="24"/>
            <w:szCs w:val="24"/>
            <w:u w:val="none"/>
          </w:rPr>
          <w:t xml:space="preserve">https://uodo.gov.pl/pl/p/kontakt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), jeżeli uzna Pani/Pan, że przetwarzanie danych osobowych narusza przepisy RODO.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12.Pani/Pana dane osobowe nie będą podlegać zautomatyzowanemu podejmowaniu decyzji, w tym profilowaniu, o którym mowa w art. 22 ust. 1 i 4 RODO.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/>
        <w:spacing/>
        <w:ind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Table Grid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 Light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Plain Table 1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2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Grid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 - Accent 1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2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3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5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6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List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Bordered &amp; 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2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93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94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95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96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97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8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9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0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1">
    <w:name w:val="Title Char"/>
    <w:basedOn w:val="836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02">
    <w:name w:val="Subtitle Char"/>
    <w:basedOn w:val="836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03">
    <w:name w:val="Quote Char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04">
    <w:name w:val="Intense Quote Char"/>
    <w:basedOn w:val="836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05">
    <w:name w:val="No Spacing"/>
    <w:basedOn w:val="826"/>
    <w:uiPriority w:val="1"/>
    <w:qFormat/>
    <w:pPr>
      <w:pBdr/>
      <w:spacing w:after="0" w:line="240" w:lineRule="auto"/>
      <w:ind/>
    </w:pPr>
  </w:style>
  <w:style w:type="character" w:styleId="80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0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0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1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1">
    <w:name w:val="Header"/>
    <w:basedOn w:val="826"/>
    <w:link w:val="8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2">
    <w:name w:val="Header Char"/>
    <w:basedOn w:val="836"/>
    <w:link w:val="811"/>
    <w:uiPriority w:val="99"/>
    <w:pPr>
      <w:pBdr/>
      <w:spacing/>
      <w:ind/>
    </w:pPr>
  </w:style>
  <w:style w:type="paragraph" w:styleId="813">
    <w:name w:val="Footer"/>
    <w:basedOn w:val="826"/>
    <w:link w:val="8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4">
    <w:name w:val="Footer Char"/>
    <w:basedOn w:val="836"/>
    <w:link w:val="813"/>
    <w:uiPriority w:val="99"/>
    <w:pPr>
      <w:pBdr/>
      <w:spacing/>
      <w:ind/>
    </w:pPr>
  </w:style>
  <w:style w:type="paragraph" w:styleId="815">
    <w:name w:val="Caption"/>
    <w:basedOn w:val="826"/>
    <w:next w:val="8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6">
    <w:name w:val="footnote text"/>
    <w:basedOn w:val="826"/>
    <w:link w:val="8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7">
    <w:name w:val="Footnote Text Char"/>
    <w:basedOn w:val="836"/>
    <w:link w:val="816"/>
    <w:uiPriority w:val="99"/>
    <w:semiHidden/>
    <w:pPr>
      <w:pBdr/>
      <w:spacing/>
      <w:ind/>
    </w:pPr>
    <w:rPr>
      <w:sz w:val="20"/>
      <w:szCs w:val="20"/>
    </w:rPr>
  </w:style>
  <w:style w:type="character" w:styleId="81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endnote text"/>
    <w:basedOn w:val="826"/>
    <w:link w:val="8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20">
    <w:name w:val="Endnote Text Char"/>
    <w:basedOn w:val="836"/>
    <w:link w:val="819"/>
    <w:uiPriority w:val="99"/>
    <w:semiHidden/>
    <w:pPr>
      <w:pBdr/>
      <w:spacing/>
      <w:ind/>
    </w:pPr>
    <w:rPr>
      <w:sz w:val="20"/>
      <w:szCs w:val="20"/>
    </w:rPr>
  </w:style>
  <w:style w:type="character" w:styleId="82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2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2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24">
    <w:name w:val="TOC Heading"/>
    <w:uiPriority w:val="39"/>
    <w:unhideWhenUsed/>
    <w:pPr>
      <w:pBdr/>
      <w:spacing/>
      <w:ind/>
    </w:pPr>
  </w:style>
  <w:style w:type="paragraph" w:styleId="825">
    <w:name w:val="table of figures"/>
    <w:basedOn w:val="826"/>
    <w:next w:val="826"/>
    <w:uiPriority w:val="99"/>
    <w:unhideWhenUsed/>
    <w:pPr>
      <w:pBdr/>
      <w:spacing w:after="0" w:afterAutospacing="0"/>
      <w:ind/>
    </w:pPr>
  </w:style>
  <w:style w:type="paragraph" w:styleId="826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827">
    <w:name w:val="Heading 1"/>
    <w:basedOn w:val="826"/>
    <w:next w:val="826"/>
    <w:link w:val="839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828">
    <w:name w:val="Heading 2"/>
    <w:basedOn w:val="826"/>
    <w:next w:val="826"/>
    <w:link w:val="840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829">
    <w:name w:val="Heading 3"/>
    <w:basedOn w:val="826"/>
    <w:next w:val="826"/>
    <w:link w:val="841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830">
    <w:name w:val="Heading 4"/>
    <w:basedOn w:val="826"/>
    <w:next w:val="826"/>
    <w:link w:val="842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1">
    <w:name w:val="Heading 5"/>
    <w:basedOn w:val="826"/>
    <w:next w:val="826"/>
    <w:link w:val="843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2">
    <w:name w:val="Heading 6"/>
    <w:basedOn w:val="826"/>
    <w:next w:val="826"/>
    <w:link w:val="844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3">
    <w:name w:val="Heading 7"/>
    <w:basedOn w:val="826"/>
    <w:next w:val="826"/>
    <w:link w:val="845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4">
    <w:name w:val="Heading 8"/>
    <w:basedOn w:val="826"/>
    <w:next w:val="826"/>
    <w:link w:val="846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835">
    <w:name w:val="Heading 9"/>
    <w:basedOn w:val="826"/>
    <w:next w:val="826"/>
    <w:link w:val="847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table" w:styleId="8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 w:customStyle="1">
    <w:name w:val="Nagłówek 1 Znak"/>
    <w:basedOn w:val="836"/>
    <w:link w:val="827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0" w:customStyle="1">
    <w:name w:val="Nagłówek 2 Znak"/>
    <w:basedOn w:val="836"/>
    <w:link w:val="82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1" w:customStyle="1">
    <w:name w:val="Nagłówek 3 Znak"/>
    <w:basedOn w:val="836"/>
    <w:link w:val="829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2" w:customStyle="1">
    <w:name w:val="Nagłówek 4 Znak"/>
    <w:basedOn w:val="836"/>
    <w:link w:val="830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843" w:customStyle="1">
    <w:name w:val="Nagłówek 5 Znak"/>
    <w:basedOn w:val="836"/>
    <w:link w:val="831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844" w:customStyle="1">
    <w:name w:val="Nagłówek 6 Znak"/>
    <w:basedOn w:val="836"/>
    <w:link w:val="832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45" w:customStyle="1">
    <w:name w:val="Nagłówek 7 Znak"/>
    <w:basedOn w:val="836"/>
    <w:link w:val="833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46" w:customStyle="1">
    <w:name w:val="Nagłówek 8 Znak"/>
    <w:basedOn w:val="836"/>
    <w:link w:val="834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47" w:customStyle="1">
    <w:name w:val="Nagłówek 9 Znak"/>
    <w:basedOn w:val="836"/>
    <w:link w:val="835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48">
    <w:name w:val="Title"/>
    <w:basedOn w:val="826"/>
    <w:next w:val="826"/>
    <w:link w:val="849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849" w:customStyle="1">
    <w:name w:val="Tytuł Znak"/>
    <w:basedOn w:val="836"/>
    <w:link w:val="848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0">
    <w:name w:val="Subtitle"/>
    <w:basedOn w:val="826"/>
    <w:next w:val="826"/>
    <w:link w:val="851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851" w:customStyle="1">
    <w:name w:val="Podtytuł Znak"/>
    <w:basedOn w:val="836"/>
    <w:link w:val="850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2">
    <w:name w:val="Quote"/>
    <w:basedOn w:val="826"/>
    <w:next w:val="826"/>
    <w:link w:val="853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853" w:customStyle="1">
    <w:name w:val="Cytat Znak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26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855">
    <w:name w:val="Intense Emphasis"/>
    <w:basedOn w:val="836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56">
    <w:name w:val="Intense Quote"/>
    <w:basedOn w:val="826"/>
    <w:next w:val="826"/>
    <w:link w:val="85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857" w:customStyle="1">
    <w:name w:val="Cytat intensywny Znak"/>
    <w:basedOn w:val="836"/>
    <w:link w:val="85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58">
    <w:name w:val="Intense Reference"/>
    <w:basedOn w:val="836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Relationship Id="rId9" Type="http://schemas.openxmlformats.org/officeDocument/2006/relationships/hyperlink" Target="mailto:ppiatak@kancelariapiatak.pl" TargetMode="External"/><Relationship Id="rId10" Type="http://schemas.openxmlformats.org/officeDocument/2006/relationships/hyperlink" Target="https://uodo.gov.pl/pl/p/kontak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Piotr Piątak</cp:lastModifiedBy>
  <cp:revision>9</cp:revision>
  <dcterms:created xsi:type="dcterms:W3CDTF">2026-07-02T15:56:00Z</dcterms:created>
  <dcterms:modified xsi:type="dcterms:W3CDTF">2026-07-19T07:29:10Z</dcterms:modified>
</cp:coreProperties>
</file>